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F7" w:rsidRDefault="00B804E8" w:rsidP="00906FF1">
      <w:pPr>
        <w:pStyle w:val="Hoofdtekst"/>
        <w:pBdr>
          <w:top w:val="none" w:sz="0" w:space="0" w:color="auto"/>
          <w:left w:val="none" w:sz="0" w:space="0" w:color="auto"/>
          <w:bottom w:val="none" w:sz="0" w:space="0" w:color="auto"/>
          <w:right w:val="none" w:sz="0" w:space="0" w:color="auto"/>
          <w:bar w:val="none" w:sz="0" w:color="auto"/>
        </w:pBdr>
        <w:jc w:val="both"/>
        <w:rPr>
          <w:lang w:val="en-US"/>
        </w:rPr>
      </w:pPr>
      <w:r>
        <w:rPr>
          <w:noProof/>
          <w:lang w:val="en-GB" w:eastAsia="en-GB"/>
        </w:rPr>
        <w:drawing>
          <wp:inline distT="0" distB="0" distL="0" distR="0">
            <wp:extent cx="5610225" cy="107632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076325"/>
                    </a:xfrm>
                    <a:prstGeom prst="rect">
                      <a:avLst/>
                    </a:prstGeom>
                    <a:noFill/>
                    <a:ln>
                      <a:noFill/>
                    </a:ln>
                  </pic:spPr>
                </pic:pic>
              </a:graphicData>
            </a:graphic>
          </wp:inline>
        </w:drawing>
      </w:r>
    </w:p>
    <w:p w:rsidR="00BE00F7" w:rsidRDefault="00BE00F7" w:rsidP="00906FF1">
      <w:pPr>
        <w:pStyle w:val="Hoofdtekst"/>
        <w:pBdr>
          <w:top w:val="none" w:sz="0" w:space="0" w:color="auto"/>
          <w:left w:val="none" w:sz="0" w:space="0" w:color="auto"/>
          <w:bottom w:val="none" w:sz="0" w:space="0" w:color="auto"/>
          <w:right w:val="none" w:sz="0" w:space="0" w:color="auto"/>
          <w:bar w:val="none" w:sz="0" w:color="auto"/>
        </w:pBdr>
        <w:jc w:val="both"/>
        <w:rPr>
          <w:lang w:val="en-US"/>
        </w:rPr>
      </w:pPr>
    </w:p>
    <w:p w:rsidR="00BE00F7" w:rsidRPr="005F27E2" w:rsidRDefault="00BE00F7" w:rsidP="00F03491">
      <w:pPr>
        <w:pStyle w:val="Hoofdtekst"/>
        <w:pBdr>
          <w:top w:val="none" w:sz="0" w:space="0" w:color="auto"/>
          <w:left w:val="none" w:sz="0" w:space="0" w:color="auto"/>
          <w:bottom w:val="none" w:sz="0" w:space="0" w:color="auto"/>
          <w:right w:val="none" w:sz="0" w:space="0" w:color="auto"/>
          <w:bar w:val="none" w:sz="0" w:color="auto"/>
        </w:pBdr>
        <w:jc w:val="center"/>
        <w:rPr>
          <w:b/>
          <w:sz w:val="24"/>
          <w:szCs w:val="24"/>
          <w:lang w:val="en-US"/>
        </w:rPr>
      </w:pPr>
      <w:r w:rsidRPr="005F27E2">
        <w:rPr>
          <w:b/>
          <w:sz w:val="24"/>
          <w:szCs w:val="24"/>
          <w:lang w:val="en-US"/>
        </w:rPr>
        <w:t xml:space="preserve">Statement of the ENCJ Executive Board concerning judicial reforms in </w:t>
      </w:r>
      <w:smartTag w:uri="urn:schemas-microsoft-com:office:smarttags" w:element="country-region">
        <w:smartTag w:uri="urn:schemas-microsoft-com:office:smarttags" w:element="place">
          <w:r w:rsidRPr="005F27E2">
            <w:rPr>
              <w:b/>
              <w:sz w:val="24"/>
              <w:szCs w:val="24"/>
              <w:lang w:val="en-US"/>
            </w:rPr>
            <w:t>Poland</w:t>
          </w:r>
        </w:smartTag>
      </w:smartTag>
    </w:p>
    <w:p w:rsidR="00BE00F7" w:rsidRPr="005F27E2" w:rsidRDefault="00BE00F7" w:rsidP="00906FF1">
      <w:pPr>
        <w:pStyle w:val="Hoofdtekst"/>
        <w:pBdr>
          <w:top w:val="none" w:sz="0" w:space="0" w:color="auto"/>
          <w:left w:val="none" w:sz="0" w:space="0" w:color="auto"/>
          <w:bottom w:val="none" w:sz="0" w:space="0" w:color="auto"/>
          <w:right w:val="none" w:sz="0" w:space="0" w:color="auto"/>
          <w:bar w:val="none" w:sz="0" w:color="auto"/>
        </w:pBdr>
        <w:jc w:val="both"/>
        <w:rPr>
          <w:lang w:val="en-US"/>
        </w:rPr>
      </w:pPr>
      <w:r>
        <w:rPr>
          <w:lang w:val="en-US"/>
        </w:rPr>
        <w:t>T</w:t>
      </w:r>
      <w:r w:rsidRPr="005F27E2">
        <w:rPr>
          <w:lang w:val="en-US"/>
        </w:rPr>
        <w:t xml:space="preserve">he ENCJ has been following the situation in </w:t>
      </w:r>
      <w:smartTag w:uri="urn:schemas-microsoft-com:office:smarttags" w:element="City">
        <w:r w:rsidRPr="005F27E2">
          <w:rPr>
            <w:lang w:val="en-US"/>
          </w:rPr>
          <w:t>Poland</w:t>
        </w:r>
      </w:smartTag>
      <w:r w:rsidRPr="005F27E2">
        <w:rPr>
          <w:lang w:val="en-US"/>
        </w:rPr>
        <w:t xml:space="preserve"> closely and has on several occasions called upon the executive to respect the independence of the judiciary, and to undertake reforms to the justice system only after meaningful consultation with the Council for the Judiciary and the judges themselves</w:t>
      </w:r>
      <w:r>
        <w:rPr>
          <w:rStyle w:val="FootnoteReference"/>
          <w:rFonts w:cs="Calibri"/>
          <w:lang w:val="en-US"/>
        </w:rPr>
        <w:footnoteReference w:id="1"/>
      </w:r>
      <w:r w:rsidRPr="005F27E2">
        <w:rPr>
          <w:lang w:val="en-US"/>
        </w:rPr>
        <w:t>.</w:t>
      </w:r>
    </w:p>
    <w:p w:rsidR="00BE00F7" w:rsidRPr="005F27E2" w:rsidRDefault="00BE00F7" w:rsidP="009F54D1">
      <w:pPr>
        <w:pStyle w:val="Hoofdtekst"/>
        <w:pBdr>
          <w:top w:val="none" w:sz="0" w:space="0" w:color="auto"/>
          <w:left w:val="none" w:sz="0" w:space="0" w:color="auto"/>
          <w:bottom w:val="none" w:sz="0" w:space="0" w:color="auto"/>
          <w:right w:val="none" w:sz="0" w:space="0" w:color="auto"/>
          <w:bar w:val="none" w:sz="0" w:color="auto"/>
        </w:pBdr>
        <w:spacing w:after="0"/>
        <w:jc w:val="both"/>
        <w:rPr>
          <w:lang w:val="en-GB"/>
        </w:rPr>
      </w:pPr>
      <w:r w:rsidRPr="005F27E2">
        <w:rPr>
          <w:lang w:val="en-US"/>
        </w:rPr>
        <w:t xml:space="preserve">In an opinion drafted </w:t>
      </w:r>
      <w:r>
        <w:rPr>
          <w:lang w:val="en-US"/>
        </w:rPr>
        <w:t>at</w:t>
      </w:r>
      <w:r w:rsidRPr="005F27E2">
        <w:rPr>
          <w:lang w:val="en-US"/>
        </w:rPr>
        <w:t xml:space="preserve"> the request of  the National Judicial Council of Poland (</w:t>
      </w:r>
      <w:proofErr w:type="spellStart"/>
      <w:r w:rsidRPr="005F27E2">
        <w:rPr>
          <w:lang w:val="en-US"/>
        </w:rPr>
        <w:t>Krajowa</w:t>
      </w:r>
      <w:proofErr w:type="spellEnd"/>
      <w:r w:rsidRPr="005F27E2">
        <w:rPr>
          <w:lang w:val="en-US"/>
        </w:rPr>
        <w:t xml:space="preserve"> Rada </w:t>
      </w:r>
      <w:proofErr w:type="spellStart"/>
      <w:r w:rsidRPr="005F27E2">
        <w:rPr>
          <w:lang w:val="en-US"/>
        </w:rPr>
        <w:t>Sądownictwa</w:t>
      </w:r>
      <w:proofErr w:type="spellEnd"/>
      <w:r w:rsidRPr="005F27E2">
        <w:rPr>
          <w:lang w:val="en-US"/>
        </w:rPr>
        <w:t xml:space="preserve"> – KRS</w:t>
      </w:r>
      <w:r>
        <w:rPr>
          <w:lang w:val="en-US"/>
        </w:rPr>
        <w:t>)</w:t>
      </w:r>
      <w:r w:rsidRPr="005F27E2">
        <w:rPr>
          <w:lang w:val="en-US"/>
        </w:rPr>
        <w:t xml:space="preserve"> in relation to draft-legislation that would affect both the composition and functioning of the KRS, the Board of the ENCJ concluded tha</w:t>
      </w:r>
      <w:r>
        <w:rPr>
          <w:lang w:val="en-US"/>
        </w:rPr>
        <w:t>t</w:t>
      </w:r>
      <w:r w:rsidRPr="005F27E2">
        <w:rPr>
          <w:lang w:val="en-US"/>
        </w:rPr>
        <w:t xml:space="preserve"> the draft laws could harm the independence of the judiciary in Poland and that ENCJ standards were not met in several fields</w:t>
      </w:r>
      <w:r>
        <w:rPr>
          <w:rStyle w:val="FootnoteReference"/>
          <w:rFonts w:cs="Calibri"/>
          <w:lang w:val="en-US"/>
        </w:rPr>
        <w:footnoteReference w:id="2"/>
      </w:r>
      <w:r w:rsidRPr="005F27E2">
        <w:rPr>
          <w:lang w:val="en-US"/>
        </w:rPr>
        <w:t xml:space="preserve">. It also stated that these standards are not developed to serve the interests of the judiciary. The standards simply reflect the shared principles and values of the EU Member States which guarantee a proper functioning of a democratic system based on the Rule of Law. </w:t>
      </w:r>
    </w:p>
    <w:p w:rsidR="00BE00F7" w:rsidRDefault="00BE00F7" w:rsidP="008070A8">
      <w:pPr>
        <w:jc w:val="both"/>
        <w:rPr>
          <w:lang w:val="en-US"/>
        </w:rPr>
      </w:pPr>
    </w:p>
    <w:p w:rsidR="00BE00F7" w:rsidRDefault="00BE00F7" w:rsidP="008070A8">
      <w:pPr>
        <w:jc w:val="both"/>
        <w:rPr>
          <w:lang w:val="en-US"/>
        </w:rPr>
      </w:pPr>
      <w:r w:rsidRPr="005F27E2">
        <w:rPr>
          <w:lang w:val="en-US"/>
        </w:rPr>
        <w:t>An ENCJ delegation recently met a group of representatives of the Polish judiciary and was informed about the ongoing reform of the judiciary by the governing party. Draft legislation currently being considered by the government include</w:t>
      </w:r>
      <w:r>
        <w:rPr>
          <w:lang w:val="en-US"/>
        </w:rPr>
        <w:t>s</w:t>
      </w:r>
      <w:r w:rsidRPr="005F27E2">
        <w:rPr>
          <w:lang w:val="en-US"/>
        </w:rPr>
        <w:t xml:space="preserve"> the dismissal of all court presidents and subsequent appointment of new presidents by the executive</w:t>
      </w:r>
      <w:r>
        <w:rPr>
          <w:lang w:val="en-US"/>
        </w:rPr>
        <w:t>;</w:t>
      </w:r>
      <w:r w:rsidRPr="005F27E2">
        <w:rPr>
          <w:lang w:val="en-US"/>
        </w:rPr>
        <w:t xml:space="preserve"> the setting up of disciplinary chambers consisting of peoples’ representatives and the dismissal of all the judges of the Supreme Court. In addition</w:t>
      </w:r>
      <w:r>
        <w:rPr>
          <w:lang w:val="en-US"/>
        </w:rPr>
        <w:t>,</w:t>
      </w:r>
      <w:r w:rsidRPr="005F27E2">
        <w:rPr>
          <w:lang w:val="en-US"/>
        </w:rPr>
        <w:t xml:space="preserve"> there are reports of regular attacks </w:t>
      </w:r>
      <w:r>
        <w:rPr>
          <w:lang w:val="en-US"/>
        </w:rPr>
        <w:t>upon</w:t>
      </w:r>
      <w:r w:rsidRPr="005F27E2">
        <w:rPr>
          <w:lang w:val="en-US"/>
        </w:rPr>
        <w:t xml:space="preserve"> the judiciary in the media by the executive and intimidation of individual judges. </w:t>
      </w:r>
    </w:p>
    <w:p w:rsidR="00BE00F7" w:rsidRPr="005F27E2" w:rsidRDefault="00BE00F7" w:rsidP="008070A8">
      <w:pPr>
        <w:jc w:val="both"/>
        <w:rPr>
          <w:lang w:val="en-GB"/>
        </w:rPr>
      </w:pPr>
      <w:r>
        <w:rPr>
          <w:lang w:val="en-GB"/>
        </w:rPr>
        <w:t>T</w:t>
      </w:r>
      <w:r w:rsidRPr="005F27E2">
        <w:rPr>
          <w:lang w:val="en-GB"/>
        </w:rPr>
        <w:t xml:space="preserve">he Board </w:t>
      </w:r>
      <w:r>
        <w:rPr>
          <w:lang w:val="en-GB"/>
        </w:rPr>
        <w:t xml:space="preserve">of the ENCJ </w:t>
      </w:r>
      <w:proofErr w:type="gramStart"/>
      <w:r w:rsidRPr="005F27E2">
        <w:rPr>
          <w:lang w:val="en-GB"/>
        </w:rPr>
        <w:t>is gravely concerned</w:t>
      </w:r>
      <w:proofErr w:type="gramEnd"/>
      <w:r w:rsidRPr="005F27E2">
        <w:rPr>
          <w:lang w:val="en-GB"/>
        </w:rPr>
        <w:t xml:space="preserve"> by </w:t>
      </w:r>
      <w:r>
        <w:rPr>
          <w:lang w:val="en-GB"/>
        </w:rPr>
        <w:t xml:space="preserve">the </w:t>
      </w:r>
      <w:r w:rsidRPr="005F27E2">
        <w:rPr>
          <w:lang w:val="en-GB"/>
        </w:rPr>
        <w:t>developments</w:t>
      </w:r>
      <w:r>
        <w:rPr>
          <w:lang w:val="en-GB"/>
        </w:rPr>
        <w:t>,</w:t>
      </w:r>
      <w:r w:rsidR="00B804E8">
        <w:rPr>
          <w:lang w:val="en-GB"/>
        </w:rPr>
        <w:t xml:space="preserve"> </w:t>
      </w:r>
      <w:r>
        <w:rPr>
          <w:lang w:val="en-GB"/>
        </w:rPr>
        <w:t xml:space="preserve">which are taking place </w:t>
      </w:r>
      <w:r w:rsidRPr="005F27E2">
        <w:rPr>
          <w:lang w:val="en-GB"/>
        </w:rPr>
        <w:t>in Poland</w:t>
      </w:r>
      <w:r>
        <w:rPr>
          <w:lang w:val="en-GB"/>
        </w:rPr>
        <w:t>.</w:t>
      </w:r>
      <w:r w:rsidR="00B804E8">
        <w:rPr>
          <w:lang w:val="en-GB"/>
        </w:rPr>
        <w:t xml:space="preserve"> </w:t>
      </w:r>
      <w:r>
        <w:rPr>
          <w:lang w:val="en-GB"/>
        </w:rPr>
        <w:t>The Board</w:t>
      </w:r>
      <w:r w:rsidRPr="005F27E2">
        <w:rPr>
          <w:lang w:val="en-GB"/>
        </w:rPr>
        <w:t xml:space="preserve"> wishes to point out that a key requirement for maintaining and enhancing mutual trust between judicial authorities in the </w:t>
      </w:r>
      <w:proofErr w:type="gramStart"/>
      <w:r w:rsidRPr="005F27E2">
        <w:rPr>
          <w:lang w:val="en-GB"/>
        </w:rPr>
        <w:t>EU</w:t>
      </w:r>
      <w:proofErr w:type="gramEnd"/>
      <w:r w:rsidRPr="005F27E2">
        <w:rPr>
          <w:lang w:val="en-GB"/>
        </w:rPr>
        <w:t xml:space="preserve"> as a basis for mutual recognition, is the independence, quality and efficiency of the judicial systems and respect </w:t>
      </w:r>
      <w:r>
        <w:rPr>
          <w:lang w:val="en-GB"/>
        </w:rPr>
        <w:t>for</w:t>
      </w:r>
      <w:r w:rsidRPr="005F27E2">
        <w:rPr>
          <w:lang w:val="en-GB"/>
        </w:rPr>
        <w:t xml:space="preserve"> the rule of law.</w:t>
      </w:r>
    </w:p>
    <w:p w:rsidR="00BE00F7" w:rsidRPr="000C4BCD" w:rsidRDefault="00BE00F7" w:rsidP="00A50CB7">
      <w:pPr>
        <w:shd w:val="clear" w:color="auto" w:fill="FFFFFF"/>
        <w:rPr>
          <w:rFonts w:ascii="Arial" w:hAnsi="Arial" w:cs="Arial"/>
          <w:sz w:val="19"/>
          <w:szCs w:val="19"/>
          <w:lang w:val="en-GB" w:eastAsia="en-GB"/>
        </w:rPr>
      </w:pPr>
      <w:r w:rsidRPr="005F27E2">
        <w:rPr>
          <w:lang w:val="en-US"/>
        </w:rPr>
        <w:t xml:space="preserve">The Board of the ENCJ reiterates that the Rule of Law is at the core of the European Union. Respect for the Rule of Law is a prerequisite for the protection of all fundamental values listed in the Treaties, including democracy and fundamental rights. </w:t>
      </w:r>
      <w:r w:rsidRPr="00D72BD2">
        <w:rPr>
          <w:lang w:val="en-GB"/>
        </w:rPr>
        <w:t xml:space="preserve">To uphold and protect the </w:t>
      </w:r>
      <w:r>
        <w:rPr>
          <w:lang w:val="en-GB"/>
        </w:rPr>
        <w:t>R</w:t>
      </w:r>
      <w:r w:rsidRPr="00D72BD2">
        <w:rPr>
          <w:lang w:val="en-GB"/>
        </w:rPr>
        <w:t xml:space="preserve">ule of </w:t>
      </w:r>
      <w:r>
        <w:rPr>
          <w:lang w:val="en-GB"/>
        </w:rPr>
        <w:t>L</w:t>
      </w:r>
      <w:r w:rsidRPr="00D72BD2">
        <w:rPr>
          <w:lang w:val="en-GB"/>
        </w:rPr>
        <w:t xml:space="preserve">aw is a responsibility for both the judiciary and other state powers. </w:t>
      </w:r>
      <w:r w:rsidRPr="005F27E2">
        <w:rPr>
          <w:lang w:val="en-GB"/>
        </w:rPr>
        <w:t>For the effective preservation of the Rule of Law, independent and accountable justice systems are needed</w:t>
      </w:r>
      <w:r w:rsidRPr="000C4BCD">
        <w:rPr>
          <w:lang w:val="en-GB"/>
        </w:rPr>
        <w:t xml:space="preserve">. </w:t>
      </w:r>
      <w:r w:rsidRPr="000C4BCD">
        <w:rPr>
          <w:rFonts w:cs="Calibri"/>
          <w:lang w:val="en-US" w:eastAsia="en-GB"/>
        </w:rPr>
        <w:t xml:space="preserve">The </w:t>
      </w:r>
      <w:r>
        <w:rPr>
          <w:rFonts w:cs="Calibri"/>
          <w:lang w:val="en-US" w:eastAsia="en-GB"/>
        </w:rPr>
        <w:t xml:space="preserve">Board </w:t>
      </w:r>
      <w:r w:rsidRPr="000C4BCD">
        <w:rPr>
          <w:rFonts w:cs="Calibri"/>
          <w:lang w:val="en-US" w:eastAsia="en-GB"/>
        </w:rPr>
        <w:t>emphasizes that fair and impartial courts are the key institutions of an independent judiciary.</w:t>
      </w:r>
    </w:p>
    <w:p w:rsidR="00BE00F7" w:rsidRPr="00A50CB7" w:rsidRDefault="00BE00F7" w:rsidP="00A50CB7">
      <w:pPr>
        <w:shd w:val="clear" w:color="auto" w:fill="FFFFFF"/>
        <w:spacing w:after="0" w:line="240" w:lineRule="auto"/>
        <w:rPr>
          <w:rFonts w:ascii="Arial" w:hAnsi="Arial" w:cs="Arial"/>
          <w:color w:val="222222"/>
          <w:sz w:val="19"/>
          <w:szCs w:val="19"/>
          <w:lang w:val="en-GB" w:eastAsia="en-GB"/>
        </w:rPr>
      </w:pPr>
      <w:r w:rsidRPr="00A50CB7">
        <w:rPr>
          <w:rFonts w:cs="Calibri"/>
          <w:color w:val="1F497D"/>
          <w:lang w:val="en-US" w:eastAsia="en-GB"/>
        </w:rPr>
        <w:t> </w:t>
      </w:r>
    </w:p>
    <w:p w:rsidR="00BE00F7" w:rsidRDefault="00BE00F7" w:rsidP="000C4BCD">
      <w:pPr>
        <w:pStyle w:val="Hoofdtekst"/>
        <w:pBdr>
          <w:top w:val="none" w:sz="0" w:space="0" w:color="auto"/>
          <w:left w:val="none" w:sz="0" w:space="0" w:color="auto"/>
          <w:bottom w:val="none" w:sz="0" w:space="0" w:color="auto"/>
          <w:right w:val="none" w:sz="0" w:space="0" w:color="auto"/>
          <w:bar w:val="none" w:sz="0" w:color="auto"/>
        </w:pBdr>
        <w:rPr>
          <w:lang w:val="en-GB"/>
        </w:rPr>
      </w:pPr>
      <w:r>
        <w:rPr>
          <w:lang w:val="en-GB"/>
        </w:rPr>
        <w:t xml:space="preserve">Done in </w:t>
      </w:r>
      <w:smartTag w:uri="urn:schemas-microsoft-com:office:smarttags" w:element="City">
        <w:r>
          <w:rPr>
            <w:lang w:val="en-GB"/>
          </w:rPr>
          <w:t>Brussels</w:t>
        </w:r>
      </w:smartTag>
      <w:r>
        <w:rPr>
          <w:lang w:val="en-GB"/>
        </w:rPr>
        <w:br/>
        <w:t>25</w:t>
      </w:r>
      <w:r w:rsidRPr="005C4D63">
        <w:rPr>
          <w:vertAlign w:val="superscript"/>
          <w:lang w:val="en-GB"/>
        </w:rPr>
        <w:t>th</w:t>
      </w:r>
      <w:r>
        <w:rPr>
          <w:lang w:val="en-GB"/>
        </w:rPr>
        <w:t xml:space="preserve"> April 2017</w:t>
      </w:r>
    </w:p>
    <w:p w:rsidR="00BE00F7" w:rsidRDefault="00BE00F7" w:rsidP="00906FF1">
      <w:pPr>
        <w:pStyle w:val="Hoofdtekst"/>
        <w:pBdr>
          <w:top w:val="none" w:sz="0" w:space="0" w:color="auto"/>
          <w:left w:val="none" w:sz="0" w:space="0" w:color="auto"/>
          <w:bottom w:val="none" w:sz="0" w:space="0" w:color="auto"/>
          <w:right w:val="none" w:sz="0" w:space="0" w:color="auto"/>
          <w:bar w:val="none" w:sz="0" w:color="auto"/>
        </w:pBdr>
        <w:jc w:val="both"/>
        <w:rPr>
          <w:lang w:val="en-GB"/>
        </w:rPr>
      </w:pPr>
      <w:bookmarkStart w:id="0" w:name="_GoBack"/>
      <w:bookmarkEnd w:id="0"/>
    </w:p>
    <w:sectPr w:rsidR="00BE00F7" w:rsidSect="000C4BCD">
      <w:headerReference w:type="even" r:id="rId8"/>
      <w:headerReference w:type="default" r:id="rId9"/>
      <w:footerReference w:type="even" r:id="rId10"/>
      <w:footerReference w:type="default" r:id="rId11"/>
      <w:headerReference w:type="first" r:id="rId12"/>
      <w:footerReference w:type="first" r:id="rId13"/>
      <w:pgSz w:w="11906" w:h="16838"/>
      <w:pgMar w:top="851" w:right="1417" w:bottom="0" w:left="1417" w:header="708" w:footer="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F7" w:rsidRDefault="00BE00F7" w:rsidP="00906FF1">
      <w:pPr>
        <w:spacing w:after="0" w:line="240" w:lineRule="auto"/>
      </w:pPr>
      <w:r>
        <w:separator/>
      </w:r>
    </w:p>
  </w:endnote>
  <w:endnote w:type="continuationSeparator" w:id="0">
    <w:p w:rsidR="00BE00F7" w:rsidRDefault="00BE00F7" w:rsidP="0090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FC" w:rsidRDefault="00FE0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F7" w:rsidRDefault="00FE02FC">
    <w:pPr>
      <w:pStyle w:val="Footer"/>
      <w:jc w:val="right"/>
    </w:pPr>
    <w:r>
      <w:fldChar w:fldCharType="begin"/>
    </w:r>
    <w:r>
      <w:instrText>PAGE   \* MERGEFORMAT</w:instrText>
    </w:r>
    <w:r>
      <w:fldChar w:fldCharType="separate"/>
    </w:r>
    <w:r>
      <w:rPr>
        <w:noProof/>
      </w:rPr>
      <w:t>1</w:t>
    </w:r>
    <w:r>
      <w:rPr>
        <w:noProof/>
      </w:rPr>
      <w:fldChar w:fldCharType="end"/>
    </w:r>
  </w:p>
  <w:p w:rsidR="00BE00F7" w:rsidRDefault="00BE0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FC" w:rsidRDefault="00FE0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F7" w:rsidRDefault="00BE00F7" w:rsidP="00906FF1">
      <w:pPr>
        <w:spacing w:after="0" w:line="240" w:lineRule="auto"/>
      </w:pPr>
      <w:r>
        <w:separator/>
      </w:r>
    </w:p>
  </w:footnote>
  <w:footnote w:type="continuationSeparator" w:id="0">
    <w:p w:rsidR="00BE00F7" w:rsidRDefault="00BE00F7" w:rsidP="00906FF1">
      <w:pPr>
        <w:spacing w:after="0" w:line="240" w:lineRule="auto"/>
      </w:pPr>
      <w:r>
        <w:continuationSeparator/>
      </w:r>
    </w:p>
  </w:footnote>
  <w:footnote w:id="1">
    <w:p w:rsidR="00BE00F7" w:rsidRDefault="00BE00F7">
      <w:pPr>
        <w:pStyle w:val="FootnoteText"/>
        <w:pBdr>
          <w:top w:val="none" w:sz="0" w:space="0" w:color="auto"/>
          <w:left w:val="none" w:sz="0" w:space="0" w:color="auto"/>
          <w:bottom w:val="none" w:sz="0" w:space="0" w:color="auto"/>
          <w:right w:val="none" w:sz="0" w:space="0" w:color="auto"/>
          <w:bar w:val="none" w:sz="0" w:color="auto"/>
        </w:pBdr>
      </w:pPr>
      <w:r>
        <w:rPr>
          <w:rStyle w:val="FootnoteReference"/>
          <w:rFonts w:cs="Calibri"/>
        </w:rPr>
        <w:footnoteRef/>
      </w:r>
      <w:hyperlink r:id="rId1" w:history="1">
        <w:r w:rsidRPr="00B804E8">
          <w:rPr>
            <w:rStyle w:val="Hyperlink"/>
            <w:rFonts w:cs="Calibri"/>
            <w:lang w:val="en-GB"/>
          </w:rPr>
          <w:t>ENCJ Warsaw Declaration, 3 June 2016</w:t>
        </w:r>
      </w:hyperlink>
    </w:p>
  </w:footnote>
  <w:footnote w:id="2">
    <w:p w:rsidR="00BE00F7" w:rsidRDefault="00BE00F7">
      <w:pPr>
        <w:pStyle w:val="FootnoteText"/>
        <w:pBdr>
          <w:top w:val="none" w:sz="0" w:space="0" w:color="auto"/>
          <w:left w:val="none" w:sz="0" w:space="0" w:color="auto"/>
          <w:bottom w:val="none" w:sz="0" w:space="0" w:color="auto"/>
          <w:right w:val="none" w:sz="0" w:space="0" w:color="auto"/>
          <w:bar w:val="none" w:sz="0" w:color="auto"/>
        </w:pBdr>
      </w:pPr>
      <w:r>
        <w:rPr>
          <w:rStyle w:val="FootnoteReference"/>
          <w:rFonts w:cs="Calibri"/>
        </w:rPr>
        <w:footnoteRef/>
      </w:r>
      <w:hyperlink r:id="rId2" w:history="1">
        <w:r w:rsidRPr="000C4BCD">
          <w:rPr>
            <w:rStyle w:val="Hyperlink"/>
            <w:rFonts w:cs="Calibri"/>
            <w:lang w:val="en-GB"/>
          </w:rPr>
          <w:t>Opinion of the ENCJ Executive Board, 30 January 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FC" w:rsidRDefault="00FE0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96033"/>
      <w:docPartObj>
        <w:docPartGallery w:val="Watermarks"/>
        <w:docPartUnique/>
      </w:docPartObj>
    </w:sdtPr>
    <w:sdtContent>
      <w:p w:rsidR="00FE02FC" w:rsidRDefault="00FE02F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FC" w:rsidRDefault="00FE0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31B"/>
    <w:multiLevelType w:val="hybridMultilevel"/>
    <w:tmpl w:val="98685DC0"/>
    <w:styleLink w:val="Gemporteerdestijl1"/>
    <w:lvl w:ilvl="0" w:tplc="232CCC64">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BD120200">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23165BB6">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CD780D0E">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4D088FB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A7E8F33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342004A0">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478DE98">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09C64374">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 w15:restartNumberingAfterBreak="0">
    <w:nsid w:val="0DCA2227"/>
    <w:multiLevelType w:val="hybridMultilevel"/>
    <w:tmpl w:val="98685DC0"/>
    <w:lvl w:ilvl="0" w:tplc="20B41E1A">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1E5022D2">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311E9486">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3B78E58E">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4A8E132">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C09A9000">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C5F03236">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B2F853F4">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E1673DE">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2" w15:restartNumberingAfterBreak="0">
    <w:nsid w:val="245C234A"/>
    <w:multiLevelType w:val="hybridMultilevel"/>
    <w:tmpl w:val="98685DC0"/>
    <w:numStyleLink w:val="Gemporteerdestijl1"/>
  </w:abstractNum>
  <w:abstractNum w:abstractNumId="3" w15:restartNumberingAfterBreak="0">
    <w:nsid w:val="4B1D658F"/>
    <w:multiLevelType w:val="hybridMultilevel"/>
    <w:tmpl w:val="98685DC0"/>
    <w:lvl w:ilvl="0" w:tplc="20B41E1A">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1E5022D2">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311E9486">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3B78E58E">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4A8E132">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C09A9000">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C5F03236">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B2F853F4">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E1673DE">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4" w15:restartNumberingAfterBreak="0">
    <w:nsid w:val="5CD761CD"/>
    <w:multiLevelType w:val="hybridMultilevel"/>
    <w:tmpl w:val="98685DC0"/>
    <w:lvl w:ilvl="0" w:tplc="20B41E1A">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1E5022D2">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311E9486">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3B78E58E">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4A8E132">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C09A9000">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C5F03236">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B2F853F4">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E1673DE">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F1"/>
    <w:rsid w:val="00005B0F"/>
    <w:rsid w:val="0005227D"/>
    <w:rsid w:val="000C4BCD"/>
    <w:rsid w:val="00175D8A"/>
    <w:rsid w:val="00202476"/>
    <w:rsid w:val="00386468"/>
    <w:rsid w:val="00453DB9"/>
    <w:rsid w:val="00563A27"/>
    <w:rsid w:val="005C4D63"/>
    <w:rsid w:val="005F27E2"/>
    <w:rsid w:val="00673016"/>
    <w:rsid w:val="00681AD2"/>
    <w:rsid w:val="006C0049"/>
    <w:rsid w:val="007469D2"/>
    <w:rsid w:val="007743EE"/>
    <w:rsid w:val="008070A8"/>
    <w:rsid w:val="00877AFD"/>
    <w:rsid w:val="008E28CB"/>
    <w:rsid w:val="00906FF1"/>
    <w:rsid w:val="009B5C06"/>
    <w:rsid w:val="009F54D1"/>
    <w:rsid w:val="00A074F7"/>
    <w:rsid w:val="00A50CB7"/>
    <w:rsid w:val="00AB720D"/>
    <w:rsid w:val="00AC557B"/>
    <w:rsid w:val="00B804E8"/>
    <w:rsid w:val="00BE00F7"/>
    <w:rsid w:val="00C92459"/>
    <w:rsid w:val="00D72BD2"/>
    <w:rsid w:val="00D81BD3"/>
    <w:rsid w:val="00E661E3"/>
    <w:rsid w:val="00EF1D69"/>
    <w:rsid w:val="00F03491"/>
    <w:rsid w:val="00F3262D"/>
    <w:rsid w:val="00FE02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6247249"/>
  <w15:docId w15:val="{C6ACC0D2-0168-4BC1-815A-3A2445CD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A8"/>
    <w:pPr>
      <w:spacing w:after="160" w:line="259" w:lineRule="auto"/>
    </w:pPr>
    <w:rPr>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6FF1"/>
    <w:rPr>
      <w:rFonts w:cs="Times New Roman"/>
      <w:u w:val="single"/>
    </w:rPr>
  </w:style>
  <w:style w:type="paragraph" w:customStyle="1" w:styleId="Hoofdtekst">
    <w:name w:val="Hoofdtekst"/>
    <w:uiPriority w:val="99"/>
    <w:rsid w:val="00906FF1"/>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u w:color="000000"/>
      <w:lang w:val="nl-NL" w:eastAsia="nl-NL"/>
    </w:rPr>
  </w:style>
  <w:style w:type="paragraph" w:styleId="ListParagraph">
    <w:name w:val="List Paragraph"/>
    <w:basedOn w:val="Normal"/>
    <w:uiPriority w:val="99"/>
    <w:qFormat/>
    <w:rsid w:val="00906FF1"/>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cs="Calibri"/>
      <w:color w:val="000000"/>
      <w:u w:color="000000"/>
      <w:lang w:val="en-US" w:eastAsia="nl-NL"/>
    </w:rPr>
  </w:style>
  <w:style w:type="paragraph" w:styleId="FootnoteText">
    <w:name w:val="footnote text"/>
    <w:basedOn w:val="Normal"/>
    <w:link w:val="FootnoteTextChar"/>
    <w:uiPriority w:val="99"/>
    <w:rsid w:val="00906FF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cs="Calibri"/>
      <w:color w:val="000000"/>
      <w:sz w:val="20"/>
      <w:szCs w:val="20"/>
      <w:u w:color="000000"/>
      <w:lang w:val="en-US" w:eastAsia="nl-NL"/>
    </w:rPr>
  </w:style>
  <w:style w:type="character" w:customStyle="1" w:styleId="FootnoteTextChar">
    <w:name w:val="Footnote Text Char"/>
    <w:basedOn w:val="DefaultParagraphFont"/>
    <w:link w:val="FootnoteText"/>
    <w:uiPriority w:val="99"/>
    <w:locked/>
    <w:rsid w:val="00906FF1"/>
    <w:rPr>
      <w:rFonts w:ascii="Calibri" w:hAnsi="Calibri" w:cs="Calibri"/>
      <w:color w:val="000000"/>
      <w:u w:color="000000"/>
      <w:lang w:val="en-US" w:eastAsia="nl-NL" w:bidi="ar-SA"/>
    </w:rPr>
  </w:style>
  <w:style w:type="character" w:customStyle="1" w:styleId="Hyperlink0">
    <w:name w:val="Hyperlink.0"/>
    <w:basedOn w:val="Hyperlink"/>
    <w:uiPriority w:val="99"/>
    <w:rsid w:val="00906FF1"/>
    <w:rPr>
      <w:rFonts w:cs="Times New Roman"/>
      <w:color w:val="0563C1"/>
      <w:u w:val="single" w:color="0563C1"/>
    </w:rPr>
  </w:style>
  <w:style w:type="character" w:customStyle="1" w:styleId="Hyperlink1">
    <w:name w:val="Hyperlink.1"/>
    <w:basedOn w:val="Hyperlink0"/>
    <w:uiPriority w:val="99"/>
    <w:rsid w:val="00906FF1"/>
    <w:rPr>
      <w:rFonts w:cs="Times New Roman"/>
      <w:color w:val="0563C1"/>
      <w:u w:val="single" w:color="0563C1"/>
      <w:shd w:val="clear" w:color="auto" w:fill="FFFFFF"/>
    </w:rPr>
  </w:style>
  <w:style w:type="character" w:customStyle="1" w:styleId="Hyperlink2">
    <w:name w:val="Hyperlink.2"/>
    <w:basedOn w:val="Hyperlink0"/>
    <w:uiPriority w:val="99"/>
    <w:rsid w:val="00906FF1"/>
    <w:rPr>
      <w:rFonts w:cs="Times New Roman"/>
      <w:color w:val="0563C1"/>
      <w:u w:val="single" w:color="0563C1"/>
      <w:lang w:val="en-US"/>
    </w:rPr>
  </w:style>
  <w:style w:type="paragraph" w:styleId="Header">
    <w:name w:val="header"/>
    <w:basedOn w:val="Normal"/>
    <w:link w:val="HeaderChar"/>
    <w:uiPriority w:val="99"/>
    <w:rsid w:val="00906FF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6FF1"/>
    <w:rPr>
      <w:rFonts w:cs="Times New Roman"/>
    </w:rPr>
  </w:style>
  <w:style w:type="paragraph" w:styleId="Footer">
    <w:name w:val="footer"/>
    <w:basedOn w:val="Normal"/>
    <w:link w:val="FooterChar"/>
    <w:uiPriority w:val="99"/>
    <w:rsid w:val="00906FF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6FF1"/>
    <w:rPr>
      <w:rFonts w:cs="Times New Roman"/>
    </w:rPr>
  </w:style>
  <w:style w:type="paragraph" w:styleId="BalloonText">
    <w:name w:val="Balloon Text"/>
    <w:basedOn w:val="Normal"/>
    <w:link w:val="BalloonTextChar"/>
    <w:uiPriority w:val="99"/>
    <w:semiHidden/>
    <w:rsid w:val="00877AF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nl-NL" w:eastAsia="en-US"/>
    </w:rPr>
  </w:style>
  <w:style w:type="character" w:styleId="FootnoteReference">
    <w:name w:val="footnote reference"/>
    <w:basedOn w:val="DefaultParagraphFont"/>
    <w:uiPriority w:val="99"/>
    <w:semiHidden/>
    <w:rsid w:val="000C4BCD"/>
    <w:rPr>
      <w:rFonts w:cs="Times New Roman"/>
      <w:vertAlign w:val="superscript"/>
    </w:rPr>
  </w:style>
  <w:style w:type="numbering" w:customStyle="1" w:styleId="Gemporteerdestijl1">
    <w:name w:val="Geïmporteerde stijl 1"/>
    <w:rsid w:val="00AD7E9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0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ncj.eu/images/stories/pdf/Members/rfc_krs_pl_opinion_encj_eb_30_1_2017_final.pdf" TargetMode="External"/><Relationship Id="rId1" Type="http://schemas.openxmlformats.org/officeDocument/2006/relationships/hyperlink" Target="https://www.encj.eu/images/stories/pdf/GA/Warsaw/encj_warsaw_declaratio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der Goes</dc:creator>
  <cp:keywords/>
  <dc:description/>
  <cp:lastModifiedBy>VAN DER GOES Monique</cp:lastModifiedBy>
  <cp:revision>3</cp:revision>
  <cp:lastPrinted>2017-01-30T07:36:00Z</cp:lastPrinted>
  <dcterms:created xsi:type="dcterms:W3CDTF">2017-04-25T15:02:00Z</dcterms:created>
  <dcterms:modified xsi:type="dcterms:W3CDTF">2017-04-25T15:48:00Z</dcterms:modified>
</cp:coreProperties>
</file>